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8E" w:rsidRPr="00263E8E" w:rsidRDefault="00263E8E" w:rsidP="00263E8E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63E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Инвестиционный портфель Саратовской области вырос до 283 проектов на 1 </w:t>
      </w:r>
      <w:proofErr w:type="spellStart"/>
      <w:proofErr w:type="gramStart"/>
      <w:r w:rsidRPr="00263E8E">
        <w:rPr>
          <w:rFonts w:ascii="Times New Roman" w:hAnsi="Times New Roman" w:cs="Times New Roman"/>
          <w:b/>
          <w:sz w:val="28"/>
          <w:szCs w:val="28"/>
          <w:lang w:eastAsia="ru-RU"/>
        </w:rPr>
        <w:t>трлн</w:t>
      </w:r>
      <w:proofErr w:type="spellEnd"/>
      <w:proofErr w:type="gramEnd"/>
      <w:r w:rsidRPr="00263E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рублей</w:t>
      </w:r>
    </w:p>
    <w:p w:rsidR="00263E8E" w:rsidRPr="00263E8E" w:rsidRDefault="00263E8E" w:rsidP="00263E8E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63E8E" w:rsidRPr="00263E8E" w:rsidRDefault="00263E8E" w:rsidP="00263E8E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В Саратовской области по итогам первого полугодия 2025 года продолжается активная реализация инвестиционных проектов. Их портфель увеличился на 22,5% с начала года и на сегодняшний день насчитывает 283 крупных проекта с совокупным объемом инвестиций свыше 1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трлн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 1 января 2025 года в регионе стартовали 45 новых проектов на общую сумму 28,8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 Среди них: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Строительство автоматизированного завода по производству комбикорма.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Создание маслоэкстракционного завода.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Строительство мукомольного завода.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Реконструкция производственных зданий для выпуска алюминиевых и полиамидных профилей.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Параллельно в первом полугодии был успешно завершен 31 проект на сумму 12,7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 </w:t>
      </w:r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Ключевые из них:</w:t>
      </w:r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Строительство </w:t>
      </w:r>
      <w:proofErr w:type="spell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Балаковского</w:t>
      </w:r>
      <w:proofErr w:type="spell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мясокомбината.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Создание современного производства буксовых подшипников на экспорт.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Строительство известкового цеха.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Лидерами по количеству проектов являются промышленное производство (90 проектов на 244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рублей), сфера транспортировки и хранения (52 проекта на 221,2 </w:t>
      </w:r>
      <w:proofErr w:type="spell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рублей), сельское хозяйство (37 проектов на 10,6 </w:t>
      </w:r>
      <w:proofErr w:type="spell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рублей).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«Отдельно министерство инвестиционной политики продолжает работу с малыми проектами (до 50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рублей), реестр которых был создан в 2023 году. Именно они формируют экономику отдаленных районов. На сегодняшний день реестр включает 464 таких проекта на сумму 7,9 </w:t>
      </w:r>
      <w:proofErr w:type="spellStart"/>
      <w:proofErr w:type="gramStart"/>
      <w:r w:rsidRPr="00263E8E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263E8E">
        <w:rPr>
          <w:rFonts w:ascii="Times New Roman" w:hAnsi="Times New Roman" w:cs="Times New Roman"/>
          <w:sz w:val="28"/>
          <w:szCs w:val="28"/>
          <w:lang w:eastAsia="ru-RU"/>
        </w:rPr>
        <w:t xml:space="preserve"> рублей, почти половина из них — в сельском хозяйстве», - рассказал министр инвестиционной политики Александр Марченко.</w:t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63E8E">
        <w:rPr>
          <w:rFonts w:ascii="Times New Roman" w:hAnsi="Times New Roman" w:cs="Times New Roman"/>
          <w:sz w:val="28"/>
          <w:szCs w:val="28"/>
          <w:lang w:eastAsia="ru-RU"/>
        </w:rPr>
        <w:br/>
        <w:t>Планируется, что по итогам 2025 года количество крупных проектов в регионе достигнет 290, а малых — более 500.</w:t>
      </w:r>
    </w:p>
    <w:p w:rsidR="008008E4" w:rsidRDefault="008008E4"/>
    <w:sectPr w:rsidR="008008E4" w:rsidSect="00800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263E8E"/>
    <w:rsid w:val="00263E8E"/>
    <w:rsid w:val="00800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E4"/>
  </w:style>
  <w:style w:type="paragraph" w:styleId="3">
    <w:name w:val="heading 3"/>
    <w:basedOn w:val="a"/>
    <w:link w:val="30"/>
    <w:uiPriority w:val="9"/>
    <w:qFormat/>
    <w:rsid w:val="00263E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3E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8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63E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4456">
          <w:marLeft w:val="0"/>
          <w:marRight w:val="0"/>
          <w:marTop w:val="193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>Krokoz™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2025-10-08T05:34:00Z</dcterms:created>
  <dcterms:modified xsi:type="dcterms:W3CDTF">2025-10-08T05:35:00Z</dcterms:modified>
</cp:coreProperties>
</file>