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6BA" w:rsidRPr="006066BA" w:rsidRDefault="006066BA" w:rsidP="006066BA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066BA">
        <w:rPr>
          <w:rFonts w:ascii="Times New Roman" w:hAnsi="Times New Roman" w:cs="Times New Roman"/>
          <w:b/>
          <w:sz w:val="28"/>
          <w:szCs w:val="28"/>
          <w:lang w:eastAsia="ru-RU"/>
        </w:rPr>
        <w:t>Правительство РФ расширило параметры инвестиционного налогового вычета для групп компаний</w:t>
      </w:r>
    </w:p>
    <w:p w:rsidR="00C66E9C" w:rsidRPr="006066BA" w:rsidRDefault="006066BA" w:rsidP="006066B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66BA">
        <w:rPr>
          <w:rFonts w:ascii="Times New Roman" w:hAnsi="Times New Roman" w:cs="Times New Roman"/>
          <w:sz w:val="28"/>
          <w:szCs w:val="28"/>
        </w:rPr>
        <w:t xml:space="preserve">Председатель Правительства РФ Михаил </w:t>
      </w:r>
      <w:proofErr w:type="spellStart"/>
      <w:r w:rsidRPr="006066BA">
        <w:rPr>
          <w:rFonts w:ascii="Times New Roman" w:hAnsi="Times New Roman" w:cs="Times New Roman"/>
          <w:sz w:val="28"/>
          <w:szCs w:val="28"/>
        </w:rPr>
        <w:t>Мишустин</w:t>
      </w:r>
      <w:proofErr w:type="spellEnd"/>
      <w:r w:rsidRPr="006066BA">
        <w:rPr>
          <w:rFonts w:ascii="Times New Roman" w:hAnsi="Times New Roman" w:cs="Times New Roman"/>
          <w:sz w:val="28"/>
          <w:szCs w:val="28"/>
        </w:rPr>
        <w:t> </w:t>
      </w:r>
      <w:hyperlink r:id="rId4" w:tgtFrame="_blank" w:tooltip="https://www.economy.gov.ru/material/news/pravitelstvo_utochnilo_parametry_federalnogo_investicionnogo_nalogovogo_vycheta.html" w:history="1">
        <w:r w:rsidRPr="006066BA">
          <w:rPr>
            <w:rStyle w:val="a3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подписал Постановление</w:t>
        </w:r>
      </w:hyperlink>
      <w:r w:rsidRPr="006066BA">
        <w:rPr>
          <w:rFonts w:ascii="Times New Roman" w:hAnsi="Times New Roman" w:cs="Times New Roman"/>
          <w:sz w:val="28"/>
          <w:szCs w:val="28"/>
        </w:rPr>
        <w:t>, вносящее изменения в параметры применения федерального инвестиционного налогового вычета (ФИНВ). Документ подготовлен Минэкономразвития России, чтобы расширить возможности для бизнеса при осуществлении капитальных вложений.</w:t>
      </w:r>
    </w:p>
    <w:p w:rsidR="006066BA" w:rsidRPr="006066BA" w:rsidRDefault="006066BA" w:rsidP="006066B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66BA">
        <w:rPr>
          <w:rFonts w:ascii="Times New Roman" w:hAnsi="Times New Roman" w:cs="Times New Roman"/>
          <w:sz w:val="28"/>
          <w:szCs w:val="28"/>
        </w:rPr>
        <w:t xml:space="preserve">Теперь право на применение инвестиционного вычета имеют участники группы компаний вне зависимости от их основного вида экономической деятельности. Ранее право использования ФИНВ было только у компаний в соответствии </w:t>
      </w:r>
      <w:proofErr w:type="gramStart"/>
      <w:r w:rsidRPr="006066B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066BA">
        <w:rPr>
          <w:rFonts w:ascii="Times New Roman" w:hAnsi="Times New Roman" w:cs="Times New Roman"/>
          <w:sz w:val="28"/>
          <w:szCs w:val="28"/>
        </w:rPr>
        <w:t xml:space="preserve"> определенным ОКВЭД.</w:t>
      </w:r>
    </w:p>
    <w:p w:rsidR="006066BA" w:rsidRPr="006066BA" w:rsidRDefault="006066BA" w:rsidP="006066B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66BA">
        <w:rPr>
          <w:rFonts w:ascii="Times New Roman" w:hAnsi="Times New Roman" w:cs="Times New Roman"/>
          <w:sz w:val="28"/>
          <w:szCs w:val="28"/>
        </w:rPr>
        <w:t xml:space="preserve">Например, если головная компания группы работает в обрабатывающей промышленности, а ее дочернее общество — в строительной сфере (на которую не распространяется действие вычета), то последнему также может быть передано право на инвестиционный вычет. Это снижает административные барьеры и позволяет группам компаний более гибко подходить к вопросам обновления основных средств, вне зависимости от того, какое именно </w:t>
      </w:r>
      <w:proofErr w:type="spellStart"/>
      <w:r w:rsidRPr="006066BA">
        <w:rPr>
          <w:rFonts w:ascii="Times New Roman" w:hAnsi="Times New Roman" w:cs="Times New Roman"/>
          <w:sz w:val="28"/>
          <w:szCs w:val="28"/>
        </w:rPr>
        <w:t>юрлицо</w:t>
      </w:r>
      <w:proofErr w:type="spellEnd"/>
      <w:r w:rsidRPr="006066BA">
        <w:rPr>
          <w:rFonts w:ascii="Times New Roman" w:hAnsi="Times New Roman" w:cs="Times New Roman"/>
          <w:sz w:val="28"/>
          <w:szCs w:val="28"/>
        </w:rPr>
        <w:t xml:space="preserve"> внутри группы осуществляет инвестиции.</w:t>
      </w:r>
    </w:p>
    <w:p w:rsidR="006066BA" w:rsidRPr="006066BA" w:rsidRDefault="006066BA" w:rsidP="006066B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66BA">
        <w:rPr>
          <w:rFonts w:ascii="Times New Roman" w:hAnsi="Times New Roman" w:cs="Times New Roman"/>
          <w:sz w:val="28"/>
          <w:szCs w:val="28"/>
        </w:rPr>
        <w:t>Отмечается, что принятые поправки направлены на повышение инвестиционной активности и поддержку организаций, реализующих проекты по развитию производственной и туристической инфраструктуры.</w:t>
      </w:r>
    </w:p>
    <w:p w:rsidR="006066BA" w:rsidRDefault="006066BA" w:rsidP="006066B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066BA" w:rsidRPr="006066BA" w:rsidRDefault="006066BA" w:rsidP="006066B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66BA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6066BA">
        <w:rPr>
          <w:rFonts w:ascii="Times New Roman" w:hAnsi="Times New Roman" w:cs="Times New Roman"/>
          <w:sz w:val="28"/>
          <w:szCs w:val="28"/>
        </w:rPr>
        <w:t>:</w:t>
      </w:r>
      <w:r w:rsidRPr="006066BA">
        <w:rPr>
          <w:rFonts w:ascii="Times New Roman" w:hAnsi="Times New Roman" w:cs="Times New Roman"/>
          <w:sz w:val="28"/>
          <w:szCs w:val="28"/>
        </w:rPr>
        <w:br/>
      </w:r>
      <w:r w:rsidRPr="006066B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066BA">
        <w:rPr>
          <w:rFonts w:ascii="Times New Roman" w:hAnsi="Times New Roman" w:cs="Times New Roman"/>
          <w:sz w:val="28"/>
          <w:szCs w:val="28"/>
        </w:rPr>
        <w:t>Федеральный инвестиционный налоговый вычет начал действовать в России с 2025 года. Размер вычета составляет 3% — на такую величину может быть уменьшен платеж по налогу на прибыль при условии, что эти средства будут инвестированы в развитие производства. Право на инвестиционный налоговый вычет имеют предприятия и организации, занимающиеся добычей полезных ископаемых, а также компании, работающие в сфере обрабатывающих производств. Кроме того, инвестиционный налоговый вычет могут получить предприятия, обеспечивающие потребителей электрической энергией и газом, предприятия общественного питания, гостиницы, организации, занимающиеся научными исследованиями и разработками, а также организации и компании, ведущие деятельность в области информационных технологий и телекоммуникаций.</w:t>
      </w:r>
    </w:p>
    <w:sectPr w:rsidR="006066BA" w:rsidRPr="006066BA" w:rsidSect="00C66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066BA"/>
    <w:rsid w:val="006066BA"/>
    <w:rsid w:val="00C66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E9C"/>
  </w:style>
  <w:style w:type="paragraph" w:styleId="3">
    <w:name w:val="heading 3"/>
    <w:basedOn w:val="a"/>
    <w:link w:val="30"/>
    <w:uiPriority w:val="9"/>
    <w:qFormat/>
    <w:rsid w:val="006066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066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6066BA"/>
    <w:rPr>
      <w:color w:val="0000FF"/>
      <w:u w:val="single"/>
    </w:rPr>
  </w:style>
  <w:style w:type="paragraph" w:styleId="a4">
    <w:name w:val="No Spacing"/>
    <w:uiPriority w:val="1"/>
    <w:qFormat/>
    <w:rsid w:val="006066B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4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conomy.gov.ru/material/news/pravitelstvo_utochnilo_parametry_federalnogo_investicionnogo_nalogovogo_vychet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2013</Characters>
  <Application>Microsoft Office Word</Application>
  <DocSecurity>0</DocSecurity>
  <Lines>16</Lines>
  <Paragraphs>4</Paragraphs>
  <ScaleCrop>false</ScaleCrop>
  <Company>Krokoz™</Company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2026-03-11T04:31:00Z</dcterms:created>
  <dcterms:modified xsi:type="dcterms:W3CDTF">2026-03-11T04:33:00Z</dcterms:modified>
</cp:coreProperties>
</file>