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0DE" w:rsidRPr="00A201FA" w:rsidRDefault="001000DE" w:rsidP="00A201FA">
      <w:pPr>
        <w:pStyle w:val="a5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201FA">
        <w:rPr>
          <w:rFonts w:ascii="Times New Roman" w:hAnsi="Times New Roman" w:cs="Times New Roman"/>
          <w:b/>
          <w:sz w:val="28"/>
          <w:szCs w:val="28"/>
          <w:lang w:eastAsia="ru-RU"/>
        </w:rPr>
        <w:t>Инвесторы могут воспользоваться инвестиционным налоговым вычетом</w:t>
      </w:r>
    </w:p>
    <w:p w:rsidR="001000DE" w:rsidRPr="00A201FA" w:rsidRDefault="001000DE" w:rsidP="00A201FA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01FA">
        <w:rPr>
          <w:rFonts w:ascii="Times New Roman" w:hAnsi="Times New Roman" w:cs="Times New Roman"/>
          <w:sz w:val="28"/>
          <w:szCs w:val="28"/>
          <w:lang w:eastAsia="ru-RU"/>
        </w:rPr>
        <w:t>До конца 2027 года организации Саратовской области имеют возможность снизить налоговую нагрузку, воспользовавшись инвестиционным налоговым вычетом.</w:t>
      </w:r>
      <w:r w:rsidRPr="00A201FA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201FA">
        <w:rPr>
          <w:rFonts w:ascii="Times New Roman" w:hAnsi="Times New Roman" w:cs="Times New Roman"/>
          <w:sz w:val="28"/>
          <w:szCs w:val="28"/>
          <w:lang w:eastAsia="ru-RU"/>
        </w:rPr>
        <w:br/>
        <w:t>Инвестиционный налоговый вычет — это уменьшение суммы налога на прибыль организаций. Предельная величина составляет 10% ставки налога на прибыль организаций. Размер вычета рассчитывается исходя из расходов на приобретение и/или модернизацию основных средств.</w:t>
      </w:r>
      <w:r w:rsidRPr="00A201FA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201FA">
        <w:rPr>
          <w:rFonts w:ascii="Times New Roman" w:hAnsi="Times New Roman" w:cs="Times New Roman"/>
          <w:sz w:val="28"/>
          <w:szCs w:val="28"/>
          <w:lang w:eastAsia="ru-RU"/>
        </w:rPr>
        <w:br/>
        <w:t>Размер инвестиционного налогового вычета:</w:t>
      </w:r>
      <w:r w:rsidRPr="00A201FA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201FA">
        <w:rPr>
          <w:rFonts w:ascii="Times New Roman" w:hAnsi="Times New Roman" w:cs="Times New Roman"/>
          <w:sz w:val="28"/>
          <w:szCs w:val="28"/>
          <w:lang w:eastAsia="ru-RU"/>
        </w:rPr>
        <w:br/>
        <w:t>— не более 40 процентов суммы расходов, составляющей первоначальную стоимость основного средства (статья 257 Налогового кодекса РФ);</w:t>
      </w:r>
      <w:r w:rsidRPr="00A201FA">
        <w:rPr>
          <w:rFonts w:ascii="Times New Roman" w:hAnsi="Times New Roman" w:cs="Times New Roman"/>
          <w:sz w:val="28"/>
          <w:szCs w:val="28"/>
          <w:lang w:eastAsia="ru-RU"/>
        </w:rPr>
        <w:br/>
        <w:t>— не более 40 процентов суммы расходов, составляющей величину изменения первоначальной стоимости основного средства (статья 257 Налогового кодекса РФ).</w:t>
      </w:r>
      <w:r w:rsidRPr="00A201FA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201FA">
        <w:rPr>
          <w:rFonts w:ascii="Times New Roman" w:hAnsi="Times New Roman" w:cs="Times New Roman"/>
          <w:sz w:val="28"/>
          <w:szCs w:val="28"/>
          <w:lang w:eastAsia="ru-RU"/>
        </w:rPr>
        <w:br/>
        <w:t>«В современных экономических условиях важно использовать все доступные инструменты для поддержки бизнеса. Инвестиционный налоговый вычет — это реальная возможность для предприятий региона сохранить средства и направить их на развитие», — отметил министр инвестиционной политики Александр Марченко.</w:t>
      </w:r>
    </w:p>
    <w:p w:rsidR="00E9336E" w:rsidRDefault="00E9336E"/>
    <w:sectPr w:rsidR="00E9336E" w:rsidSect="00E93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00DE"/>
    <w:rsid w:val="001000DE"/>
    <w:rsid w:val="002F1411"/>
    <w:rsid w:val="00A201FA"/>
    <w:rsid w:val="00E93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36E"/>
  </w:style>
  <w:style w:type="paragraph" w:styleId="3">
    <w:name w:val="heading 3"/>
    <w:basedOn w:val="a"/>
    <w:link w:val="30"/>
    <w:uiPriority w:val="9"/>
    <w:qFormat/>
    <w:rsid w:val="001000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000D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00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00D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000D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1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88348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9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938</Characters>
  <Application>Microsoft Office Word</Application>
  <DocSecurity>0</DocSecurity>
  <Lines>7</Lines>
  <Paragraphs>2</Paragraphs>
  <ScaleCrop>false</ScaleCrop>
  <Company>Krokoz™</Company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3</cp:revision>
  <dcterms:created xsi:type="dcterms:W3CDTF">2025-08-13T11:06:00Z</dcterms:created>
  <dcterms:modified xsi:type="dcterms:W3CDTF">2025-08-15T10:00:00Z</dcterms:modified>
</cp:coreProperties>
</file>